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722DF" w14:textId="77777777" w:rsidR="002A0EF7" w:rsidRDefault="002A0EF7">
      <w:pPr>
        <w:ind w:left="0" w:hanging="2"/>
      </w:pPr>
    </w:p>
    <w:tbl>
      <w:tblPr>
        <w:tblStyle w:val="a"/>
        <w:tblW w:w="8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68"/>
        <w:gridCol w:w="4352"/>
      </w:tblGrid>
      <w:tr w:rsidR="002A0EF7" w14:paraId="4344C2AE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18C6B" w14:textId="5BE97C4F" w:rsidR="002A0EF7" w:rsidRDefault="00DE0A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DISCIPLINA:</w:t>
            </w:r>
            <w:r>
              <w:rPr>
                <w:color w:val="FF0000"/>
              </w:rPr>
              <w:t xml:space="preserve"> </w:t>
            </w:r>
            <w:r w:rsidR="002222D6">
              <w:rPr>
                <w:color w:val="000000"/>
              </w:rPr>
              <w:t xml:space="preserve">Geometria </w:t>
            </w:r>
            <w:r w:rsidR="00B11C43">
              <w:rPr>
                <w:color w:val="000000"/>
              </w:rPr>
              <w:t>A</w:t>
            </w:r>
            <w:r>
              <w:rPr>
                <w:color w:val="000000"/>
              </w:rPr>
              <w:t>nalítica</w:t>
            </w:r>
          </w:p>
        </w:tc>
      </w:tr>
      <w:tr w:rsidR="002A0EF7" w14:paraId="4251BFE7" w14:textId="77777777"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D76EF" w14:textId="77777777" w:rsidR="002A0EF7" w:rsidRDefault="00DE0A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Vigência: </w:t>
            </w:r>
            <w:r>
              <w:rPr>
                <w:color w:val="000000"/>
              </w:rPr>
              <w:t xml:space="preserve">a partir de </w:t>
            </w:r>
            <w:r w:rsidR="00931FCE">
              <w:rPr>
                <w:color w:val="000000"/>
              </w:rPr>
              <w:t>2021/1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893FB" w14:textId="77777777" w:rsidR="002A0EF7" w:rsidRDefault="00DE0A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Período letivo:</w:t>
            </w:r>
            <w:r>
              <w:rPr>
                <w:color w:val="000000"/>
              </w:rPr>
              <w:t xml:space="preserve"> 1º semestre</w:t>
            </w:r>
          </w:p>
        </w:tc>
      </w:tr>
      <w:tr w:rsidR="002A0EF7" w14:paraId="30575035" w14:textId="77777777"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BD1D7" w14:textId="77777777" w:rsidR="002A0EF7" w:rsidRDefault="00DE0A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Carga horária total: </w:t>
            </w:r>
            <w:r>
              <w:rPr>
                <w:color w:val="000000"/>
              </w:rPr>
              <w:t>45 h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E0589" w14:textId="77777777" w:rsidR="002A0EF7" w:rsidRDefault="00DE0A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Código: </w:t>
            </w:r>
          </w:p>
        </w:tc>
      </w:tr>
      <w:tr w:rsidR="002A0EF7" w14:paraId="1FB797EA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CC969" w14:textId="77777777" w:rsidR="002A0EF7" w:rsidRDefault="00DE0A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Ementa: </w:t>
            </w:r>
            <w:r>
              <w:rPr>
                <w:color w:val="000000"/>
              </w:rPr>
              <w:t>Construção dos conceitos sobre</w:t>
            </w:r>
            <w:r w:rsidR="00931FCE">
              <w:rPr>
                <w:color w:val="000000"/>
              </w:rPr>
              <w:t xml:space="preserve"> vetores no plano e no espaço; e</w:t>
            </w:r>
            <w:r>
              <w:rPr>
                <w:color w:val="000000"/>
              </w:rPr>
              <w:t>studo</w:t>
            </w:r>
            <w:r w:rsidR="00931FCE">
              <w:rPr>
                <w:color w:val="000000"/>
              </w:rPr>
              <w:t xml:space="preserve"> da reta e do plano no espaço; a</w:t>
            </w:r>
            <w:r>
              <w:rPr>
                <w:color w:val="000000"/>
              </w:rPr>
              <w:t>nálise das seções cônicas.</w:t>
            </w:r>
          </w:p>
        </w:tc>
      </w:tr>
    </w:tbl>
    <w:p w14:paraId="614BAC85" w14:textId="77777777" w:rsidR="002A0EF7" w:rsidRDefault="002A0EF7" w:rsidP="002222D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2F265338" w14:textId="77777777" w:rsidR="002A0EF7" w:rsidRDefault="00DE0A64" w:rsidP="002222D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Conteúdos</w:t>
      </w:r>
    </w:p>
    <w:p w14:paraId="6C534A35" w14:textId="77777777" w:rsidR="002222D6" w:rsidRDefault="002222D6" w:rsidP="00931FCE">
      <w:pPr>
        <w:spacing w:line="240" w:lineRule="auto"/>
        <w:ind w:left="0" w:hanging="2"/>
      </w:pPr>
    </w:p>
    <w:p w14:paraId="5252BC4D" w14:textId="77777777" w:rsidR="002A0EF7" w:rsidRPr="00931FCE" w:rsidRDefault="00DE0A64" w:rsidP="00931FCE">
      <w:pPr>
        <w:spacing w:line="240" w:lineRule="auto"/>
        <w:ind w:left="0" w:hanging="2"/>
      </w:pPr>
      <w:r>
        <w:t>UNIDADE I – Vet</w:t>
      </w:r>
      <w:r w:rsidRPr="00931FCE">
        <w:t>ores</w:t>
      </w:r>
    </w:p>
    <w:p w14:paraId="4B0EC949" w14:textId="77777777" w:rsidR="00931FCE" w:rsidRPr="00931FCE" w:rsidRDefault="00931FCE" w:rsidP="002222D6">
      <w:pPr>
        <w:pStyle w:val="PargrafodaLista"/>
        <w:numPr>
          <w:ilvl w:val="1"/>
          <w:numId w:val="1"/>
        </w:numPr>
        <w:spacing w:after="0" w:line="240" w:lineRule="auto"/>
        <w:ind w:leftChars="0" w:left="1560" w:firstLineChars="0" w:hanging="426"/>
        <w:rPr>
          <w:rFonts w:ascii="Arial" w:hAnsi="Arial"/>
          <w:sz w:val="24"/>
          <w:szCs w:val="24"/>
        </w:rPr>
      </w:pPr>
      <w:r w:rsidRPr="00931FCE">
        <w:rPr>
          <w:rFonts w:ascii="Arial" w:hAnsi="Arial"/>
          <w:sz w:val="24"/>
          <w:szCs w:val="24"/>
        </w:rPr>
        <w:t>Vetores no plano e no espaço</w:t>
      </w:r>
    </w:p>
    <w:p w14:paraId="114CE444" w14:textId="77777777" w:rsidR="00931FCE" w:rsidRPr="00931FCE" w:rsidRDefault="00931FCE" w:rsidP="002222D6">
      <w:pPr>
        <w:pStyle w:val="PargrafodaLista"/>
        <w:numPr>
          <w:ilvl w:val="1"/>
          <w:numId w:val="1"/>
        </w:numPr>
        <w:spacing w:after="0" w:line="240" w:lineRule="auto"/>
        <w:ind w:leftChars="0" w:left="1560" w:firstLineChars="0" w:hanging="426"/>
        <w:rPr>
          <w:rFonts w:ascii="Arial" w:hAnsi="Arial"/>
          <w:sz w:val="24"/>
          <w:szCs w:val="24"/>
        </w:rPr>
      </w:pPr>
      <w:r w:rsidRPr="00931FCE">
        <w:rPr>
          <w:rFonts w:ascii="Arial" w:hAnsi="Arial"/>
          <w:sz w:val="24"/>
          <w:szCs w:val="24"/>
        </w:rPr>
        <w:t>Adição de vetores: propriedades e representação geométrica</w:t>
      </w:r>
    </w:p>
    <w:p w14:paraId="4DDDCA03" w14:textId="77777777" w:rsidR="00931FCE" w:rsidRPr="00931FCE" w:rsidRDefault="00931FCE" w:rsidP="002222D6">
      <w:pPr>
        <w:pStyle w:val="PargrafodaLista"/>
        <w:numPr>
          <w:ilvl w:val="1"/>
          <w:numId w:val="1"/>
        </w:numPr>
        <w:spacing w:after="0" w:line="240" w:lineRule="auto"/>
        <w:ind w:leftChars="0" w:left="1560" w:firstLineChars="0" w:hanging="426"/>
        <w:rPr>
          <w:rFonts w:ascii="Arial" w:hAnsi="Arial"/>
          <w:sz w:val="24"/>
          <w:szCs w:val="24"/>
        </w:rPr>
      </w:pPr>
      <w:r w:rsidRPr="00931FCE">
        <w:rPr>
          <w:rFonts w:ascii="Arial" w:hAnsi="Arial"/>
          <w:sz w:val="24"/>
          <w:szCs w:val="24"/>
        </w:rPr>
        <w:t>Multiplicação por escalar: propriedades e representação geométrica</w:t>
      </w:r>
    </w:p>
    <w:p w14:paraId="509BAF9A" w14:textId="77777777" w:rsidR="00931FCE" w:rsidRPr="00931FCE" w:rsidRDefault="00931FCE" w:rsidP="002222D6">
      <w:pPr>
        <w:pStyle w:val="PargrafodaLista"/>
        <w:numPr>
          <w:ilvl w:val="1"/>
          <w:numId w:val="1"/>
        </w:numPr>
        <w:spacing w:after="0" w:line="240" w:lineRule="auto"/>
        <w:ind w:leftChars="0" w:left="1560" w:firstLineChars="0" w:hanging="426"/>
        <w:rPr>
          <w:rFonts w:ascii="Arial" w:hAnsi="Arial"/>
          <w:sz w:val="24"/>
          <w:szCs w:val="24"/>
        </w:rPr>
      </w:pPr>
      <w:r w:rsidRPr="00931FCE">
        <w:rPr>
          <w:rFonts w:ascii="Arial" w:hAnsi="Arial"/>
          <w:sz w:val="24"/>
          <w:szCs w:val="24"/>
        </w:rPr>
        <w:t>Produto escalar: propriedades e interpretação geométrica</w:t>
      </w:r>
    </w:p>
    <w:p w14:paraId="7FAC90F7" w14:textId="77777777" w:rsidR="00931FCE" w:rsidRPr="00931FCE" w:rsidRDefault="00931FCE" w:rsidP="002222D6">
      <w:pPr>
        <w:pStyle w:val="PargrafodaLista"/>
        <w:numPr>
          <w:ilvl w:val="1"/>
          <w:numId w:val="1"/>
        </w:numPr>
        <w:spacing w:after="0" w:line="240" w:lineRule="auto"/>
        <w:ind w:leftChars="0" w:left="1560" w:firstLineChars="0" w:hanging="426"/>
        <w:rPr>
          <w:rFonts w:ascii="Arial" w:hAnsi="Arial"/>
          <w:sz w:val="24"/>
          <w:szCs w:val="24"/>
        </w:rPr>
      </w:pPr>
      <w:r w:rsidRPr="00931FCE">
        <w:rPr>
          <w:rFonts w:ascii="Arial" w:hAnsi="Arial"/>
          <w:sz w:val="24"/>
          <w:szCs w:val="24"/>
        </w:rPr>
        <w:t>Ângulo entre vetores, projeção ortogonal, paralelismo e ortogonalidade de vetores</w:t>
      </w:r>
    </w:p>
    <w:p w14:paraId="1A4254C2" w14:textId="77777777" w:rsidR="00931FCE" w:rsidRPr="00931FCE" w:rsidRDefault="00931FCE" w:rsidP="002222D6">
      <w:pPr>
        <w:pStyle w:val="PargrafodaLista"/>
        <w:numPr>
          <w:ilvl w:val="1"/>
          <w:numId w:val="1"/>
        </w:numPr>
        <w:spacing w:after="0" w:line="240" w:lineRule="auto"/>
        <w:ind w:leftChars="0" w:left="1560" w:firstLineChars="0" w:hanging="426"/>
        <w:rPr>
          <w:rFonts w:ascii="Arial" w:hAnsi="Arial"/>
          <w:sz w:val="24"/>
          <w:szCs w:val="24"/>
        </w:rPr>
      </w:pPr>
      <w:r w:rsidRPr="00931FCE">
        <w:rPr>
          <w:rFonts w:ascii="Arial" w:hAnsi="Arial"/>
          <w:sz w:val="24"/>
          <w:szCs w:val="24"/>
        </w:rPr>
        <w:t>Produto vetorial: propriedades e interpretação geométrica</w:t>
      </w:r>
    </w:p>
    <w:p w14:paraId="7DBA6838" w14:textId="77777777" w:rsidR="00931FCE" w:rsidRPr="00931FCE" w:rsidRDefault="00931FCE" w:rsidP="002222D6">
      <w:pPr>
        <w:pStyle w:val="PargrafodaLista"/>
        <w:numPr>
          <w:ilvl w:val="1"/>
          <w:numId w:val="1"/>
        </w:numPr>
        <w:spacing w:after="0" w:line="240" w:lineRule="auto"/>
        <w:ind w:leftChars="0" w:left="1560" w:firstLineChars="0" w:hanging="426"/>
        <w:rPr>
          <w:rFonts w:ascii="Arial" w:hAnsi="Arial"/>
          <w:sz w:val="24"/>
          <w:szCs w:val="24"/>
        </w:rPr>
      </w:pPr>
      <w:r w:rsidRPr="00931FCE">
        <w:rPr>
          <w:rFonts w:ascii="Arial" w:hAnsi="Arial"/>
          <w:sz w:val="24"/>
          <w:szCs w:val="24"/>
        </w:rPr>
        <w:t>Produto misto: propriedades e interpretação geométrica</w:t>
      </w:r>
    </w:p>
    <w:p w14:paraId="733D3310" w14:textId="77777777" w:rsidR="002A0EF7" w:rsidRDefault="002A0EF7">
      <w:pPr>
        <w:ind w:left="0" w:hanging="2"/>
      </w:pPr>
    </w:p>
    <w:p w14:paraId="0DDCDD6F" w14:textId="77777777" w:rsidR="002A0EF7" w:rsidRDefault="00DE0A64">
      <w:pPr>
        <w:ind w:left="0" w:hanging="2"/>
      </w:pPr>
      <w:r>
        <w:t>UNIDADE II – Estudo da reta e do plano no espaço</w:t>
      </w:r>
    </w:p>
    <w:p w14:paraId="6D279F19" w14:textId="77777777" w:rsidR="00931FCE" w:rsidRDefault="002222D6" w:rsidP="00931FCE">
      <w:pPr>
        <w:ind w:left="-2" w:firstLineChars="472" w:firstLine="1133"/>
      </w:pPr>
      <w:r>
        <w:t xml:space="preserve">2.1 </w:t>
      </w:r>
      <w:r w:rsidR="00931FCE">
        <w:t>Estudo das retas: equações vetorial, paramétrica e simétrica</w:t>
      </w:r>
    </w:p>
    <w:p w14:paraId="240F6FA1" w14:textId="77777777" w:rsidR="00931FCE" w:rsidRDefault="002222D6" w:rsidP="00931FCE">
      <w:pPr>
        <w:ind w:left="-2" w:firstLineChars="472" w:firstLine="1133"/>
      </w:pPr>
      <w:r>
        <w:t xml:space="preserve">2.2 </w:t>
      </w:r>
      <w:r w:rsidR="00931FCE">
        <w:t>Posições relativas entre duas retas</w:t>
      </w:r>
    </w:p>
    <w:p w14:paraId="7F3A3C8A" w14:textId="77777777" w:rsidR="00931FCE" w:rsidRDefault="002222D6" w:rsidP="00931FCE">
      <w:pPr>
        <w:ind w:left="-2" w:firstLineChars="472" w:firstLine="1133"/>
      </w:pPr>
      <w:r>
        <w:t xml:space="preserve">2.3 </w:t>
      </w:r>
      <w:r w:rsidR="00931FCE">
        <w:t>Estudo dos planos: equações vetorial, paramétrica e geral</w:t>
      </w:r>
    </w:p>
    <w:p w14:paraId="78317E27" w14:textId="77777777" w:rsidR="00931FCE" w:rsidRDefault="002222D6" w:rsidP="00931FCE">
      <w:pPr>
        <w:ind w:left="-2" w:firstLineChars="472" w:firstLine="1133"/>
      </w:pPr>
      <w:r>
        <w:t xml:space="preserve">2.4 </w:t>
      </w:r>
      <w:r w:rsidR="00931FCE">
        <w:t>Posições relativas entre dois planos</w:t>
      </w:r>
    </w:p>
    <w:p w14:paraId="1DC1A078" w14:textId="77777777" w:rsidR="00931FCE" w:rsidRDefault="002222D6" w:rsidP="00931FCE">
      <w:pPr>
        <w:ind w:left="-2" w:firstLineChars="472" w:firstLine="1133"/>
      </w:pPr>
      <w:r>
        <w:t xml:space="preserve">2.5 </w:t>
      </w:r>
      <w:r w:rsidR="00931FCE">
        <w:t>Condição de paralelismo entre reta e plano</w:t>
      </w:r>
    </w:p>
    <w:p w14:paraId="2835F0A4" w14:textId="77777777" w:rsidR="00931FCE" w:rsidRDefault="002222D6" w:rsidP="00931FCE">
      <w:pPr>
        <w:ind w:left="-2" w:firstLineChars="472" w:firstLine="1133"/>
      </w:pPr>
      <w:r>
        <w:t xml:space="preserve">2.6 </w:t>
      </w:r>
      <w:r w:rsidR="00931FCE">
        <w:t>Condição de ortogonalidade entre reta e plano</w:t>
      </w:r>
    </w:p>
    <w:p w14:paraId="385D7D46" w14:textId="77777777" w:rsidR="00931FCE" w:rsidRDefault="002222D6" w:rsidP="00931FCE">
      <w:pPr>
        <w:ind w:left="-2" w:firstLineChars="472" w:firstLine="1133"/>
      </w:pPr>
      <w:r>
        <w:t xml:space="preserve">2.7 </w:t>
      </w:r>
      <w:r w:rsidR="00931FCE">
        <w:t>Distâncias: entre um ponto a uma reta e um ponto a um plano</w:t>
      </w:r>
    </w:p>
    <w:p w14:paraId="759BBB05" w14:textId="77777777" w:rsidR="002A0EF7" w:rsidRDefault="002A0EF7">
      <w:pPr>
        <w:ind w:left="0" w:hanging="2"/>
      </w:pPr>
    </w:p>
    <w:p w14:paraId="7262B1CA" w14:textId="77777777" w:rsidR="002A0EF7" w:rsidRDefault="00DE0A64">
      <w:pPr>
        <w:ind w:left="0" w:hanging="2"/>
      </w:pPr>
      <w:r>
        <w:t>UNIDADE III – Seções cônicas</w:t>
      </w:r>
    </w:p>
    <w:p w14:paraId="4F4B7FB4" w14:textId="77777777" w:rsidR="00931FCE" w:rsidRDefault="002222D6" w:rsidP="00931FCE">
      <w:pPr>
        <w:ind w:left="-2" w:firstLineChars="472" w:firstLine="1133"/>
      </w:pPr>
      <w:r>
        <w:t xml:space="preserve">3.1 </w:t>
      </w:r>
      <w:r w:rsidR="00931FCE">
        <w:t>Circunferência</w:t>
      </w:r>
    </w:p>
    <w:p w14:paraId="1E6EF6D5" w14:textId="77777777" w:rsidR="00931FCE" w:rsidRDefault="002222D6" w:rsidP="00931FCE">
      <w:pPr>
        <w:ind w:left="-2" w:firstLineChars="472" w:firstLine="1133"/>
      </w:pPr>
      <w:r>
        <w:t xml:space="preserve">3.2 </w:t>
      </w:r>
      <w:r w:rsidR="00931FCE">
        <w:t>Parábola</w:t>
      </w:r>
    </w:p>
    <w:p w14:paraId="22000613" w14:textId="77777777" w:rsidR="00931FCE" w:rsidRDefault="002222D6" w:rsidP="00931FCE">
      <w:pPr>
        <w:ind w:left="-2" w:firstLineChars="472" w:firstLine="1133"/>
      </w:pPr>
      <w:r>
        <w:t xml:space="preserve">3.3 </w:t>
      </w:r>
      <w:r w:rsidR="00931FCE">
        <w:t>Elipse</w:t>
      </w:r>
    </w:p>
    <w:p w14:paraId="75F5BF52" w14:textId="77777777" w:rsidR="00931FCE" w:rsidRDefault="002222D6" w:rsidP="00931FCE">
      <w:pPr>
        <w:ind w:left="-2" w:firstLineChars="472" w:firstLine="1133"/>
      </w:pPr>
      <w:r>
        <w:t xml:space="preserve">3.4 </w:t>
      </w:r>
      <w:r w:rsidR="00931FCE">
        <w:t>Hipérbole</w:t>
      </w:r>
    </w:p>
    <w:p w14:paraId="6FB9A45F" w14:textId="77777777" w:rsidR="00931FCE" w:rsidRDefault="002222D6" w:rsidP="00931FCE">
      <w:pPr>
        <w:ind w:left="-2" w:firstLineChars="472" w:firstLine="1133"/>
      </w:pPr>
      <w:r>
        <w:t xml:space="preserve">3.5 </w:t>
      </w:r>
      <w:r w:rsidR="00931FCE">
        <w:t>Translação e rotação de eixos</w:t>
      </w:r>
    </w:p>
    <w:p w14:paraId="3FE3CCD1" w14:textId="77777777" w:rsidR="002A0EF7" w:rsidRDefault="002222D6" w:rsidP="002222D6">
      <w:pPr>
        <w:spacing w:line="240" w:lineRule="auto"/>
        <w:ind w:left="-2" w:firstLineChars="472" w:firstLine="1133"/>
      </w:pPr>
      <w:r>
        <w:t xml:space="preserve">3.6 </w:t>
      </w:r>
      <w:r w:rsidR="00931FCE">
        <w:t>Equação geral de uma seção cônica</w:t>
      </w:r>
    </w:p>
    <w:p w14:paraId="213554F4" w14:textId="77777777" w:rsidR="002A0EF7" w:rsidRDefault="002A0EF7" w:rsidP="002222D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1608E51E" w14:textId="77777777" w:rsidR="002A0EF7" w:rsidRDefault="00DE0A64" w:rsidP="002222D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Bibliografia básica</w:t>
      </w:r>
    </w:p>
    <w:p w14:paraId="6E4A6685" w14:textId="77777777" w:rsidR="002222D6" w:rsidRDefault="002222D6" w:rsidP="002222D6">
      <w:pPr>
        <w:spacing w:line="240" w:lineRule="auto"/>
        <w:ind w:left="0" w:hanging="2"/>
      </w:pPr>
    </w:p>
    <w:p w14:paraId="374BE61E" w14:textId="52FD54FA" w:rsidR="002A0EF7" w:rsidRPr="00931FCE" w:rsidRDefault="00DE0A64" w:rsidP="00864928">
      <w:pPr>
        <w:spacing w:before="120" w:line="240" w:lineRule="auto"/>
        <w:ind w:left="0" w:hanging="2"/>
      </w:pPr>
      <w:r>
        <w:t>CAMARGO, Ivan de; B</w:t>
      </w:r>
      <w:r w:rsidRPr="00931FCE">
        <w:t xml:space="preserve">OULOS, Paulo. </w:t>
      </w:r>
      <w:r w:rsidRPr="00931FCE">
        <w:rPr>
          <w:b/>
        </w:rPr>
        <w:t xml:space="preserve">Geometria </w:t>
      </w:r>
      <w:r w:rsidR="00864928" w:rsidRPr="00931FCE">
        <w:rPr>
          <w:b/>
        </w:rPr>
        <w:t>Analítica</w:t>
      </w:r>
      <w:r w:rsidRPr="00931FCE">
        <w:t xml:space="preserve">: </w:t>
      </w:r>
      <w:r w:rsidRPr="00864928">
        <w:rPr>
          <w:bCs/>
        </w:rPr>
        <w:t>um tratamento vetorial</w:t>
      </w:r>
      <w:r w:rsidR="002A31F2">
        <w:t>. 3</w:t>
      </w:r>
      <w:r w:rsidR="00864928">
        <w:t>.</w:t>
      </w:r>
      <w:r w:rsidRPr="00931FCE">
        <w:t>ed. São Paulo: Pearson, 2005.</w:t>
      </w:r>
    </w:p>
    <w:p w14:paraId="75C7D2A7" w14:textId="77777777" w:rsidR="002A0EF7" w:rsidRPr="00931FCE" w:rsidRDefault="00DE0A64" w:rsidP="00864928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 w:rsidRPr="00931FCE">
        <w:rPr>
          <w:color w:val="000000"/>
        </w:rPr>
        <w:t xml:space="preserve">SANTOS, Fabiano J.; FERREIRA, Silvimar F. </w:t>
      </w:r>
      <w:r w:rsidRPr="00931FCE">
        <w:rPr>
          <w:b/>
          <w:color w:val="000000"/>
        </w:rPr>
        <w:t>Geometria Analítica</w:t>
      </w:r>
      <w:r w:rsidRPr="00931FCE">
        <w:rPr>
          <w:color w:val="000000"/>
        </w:rPr>
        <w:t>. Porto Alegre: Bookman, 2009.</w:t>
      </w:r>
    </w:p>
    <w:p w14:paraId="0DE954FF" w14:textId="5193F96B" w:rsidR="002A0EF7" w:rsidRPr="00864928" w:rsidRDefault="00DE0A64" w:rsidP="00864928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Chars="0" w:firstLineChars="0" w:firstLine="0"/>
        <w:rPr>
          <w:color w:val="000000"/>
          <w:lang w:val="en-US"/>
        </w:rPr>
      </w:pPr>
      <w:r>
        <w:rPr>
          <w:color w:val="000000"/>
        </w:rPr>
        <w:t xml:space="preserve">STEINBRUCH, Alfredo; WINTERLE, Paulo. </w:t>
      </w:r>
      <w:r>
        <w:rPr>
          <w:b/>
          <w:color w:val="000000"/>
        </w:rPr>
        <w:t>Geometria Analítica</w:t>
      </w:r>
      <w:r w:rsidR="002A31F2">
        <w:rPr>
          <w:color w:val="000000"/>
        </w:rPr>
        <w:t xml:space="preserve">. </w:t>
      </w:r>
      <w:r w:rsidR="002A31F2" w:rsidRPr="00864928">
        <w:rPr>
          <w:color w:val="000000"/>
          <w:lang w:val="en-US"/>
        </w:rPr>
        <w:t>2</w:t>
      </w:r>
      <w:r w:rsidR="00864928">
        <w:rPr>
          <w:lang w:val="en-US"/>
        </w:rPr>
        <w:t>.</w:t>
      </w:r>
      <w:r w:rsidRPr="00864928">
        <w:rPr>
          <w:color w:val="000000"/>
          <w:lang w:val="en-US"/>
        </w:rPr>
        <w:t>ed. São Paulo: Makron Books, 1987.</w:t>
      </w:r>
    </w:p>
    <w:p w14:paraId="4B6E65B8" w14:textId="77777777" w:rsidR="002A0EF7" w:rsidRPr="00864928" w:rsidRDefault="002A0EF7" w:rsidP="002A31F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lang w:val="en-US"/>
        </w:rPr>
      </w:pPr>
    </w:p>
    <w:p w14:paraId="65412EB1" w14:textId="77777777" w:rsidR="002A0EF7" w:rsidRDefault="00DE0A64" w:rsidP="002A31F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>Bibliografia complementar</w:t>
      </w:r>
    </w:p>
    <w:p w14:paraId="10A916E4" w14:textId="77777777" w:rsidR="002222D6" w:rsidRDefault="002222D6" w:rsidP="002A31F2">
      <w:pPr>
        <w:spacing w:line="240" w:lineRule="auto"/>
        <w:ind w:left="0" w:hanging="2"/>
      </w:pPr>
    </w:p>
    <w:p w14:paraId="41DFF375" w14:textId="7195EF83" w:rsidR="002A0EF7" w:rsidRPr="002A31F2" w:rsidRDefault="00DE0A64" w:rsidP="00864928">
      <w:pPr>
        <w:spacing w:before="120" w:line="240" w:lineRule="auto"/>
        <w:ind w:left="0" w:hanging="2"/>
      </w:pPr>
      <w:r>
        <w:t xml:space="preserve">IEZZI, Gelson. </w:t>
      </w:r>
      <w:r>
        <w:rPr>
          <w:b/>
        </w:rPr>
        <w:t>Fundam</w:t>
      </w:r>
      <w:r w:rsidRPr="002A31F2">
        <w:rPr>
          <w:b/>
        </w:rPr>
        <w:t xml:space="preserve">entos de </w:t>
      </w:r>
      <w:r w:rsidR="00864928" w:rsidRPr="002A31F2">
        <w:rPr>
          <w:b/>
        </w:rPr>
        <w:t xml:space="preserve">Matemática Elementar </w:t>
      </w:r>
      <w:r w:rsidRPr="002A31F2">
        <w:rPr>
          <w:b/>
        </w:rPr>
        <w:t xml:space="preserve">7: </w:t>
      </w:r>
      <w:r w:rsidRPr="00864928">
        <w:rPr>
          <w:bCs/>
        </w:rPr>
        <w:t>geometria analítica</w:t>
      </w:r>
      <w:r w:rsidRPr="002A31F2">
        <w:t>. 6.ed. São Paulo: Atual, 2013.</w:t>
      </w:r>
    </w:p>
    <w:p w14:paraId="478BA60C" w14:textId="4C9EA933" w:rsidR="002A0EF7" w:rsidRPr="002A31F2" w:rsidRDefault="00DE0A64" w:rsidP="00864928">
      <w:pPr>
        <w:spacing w:before="120" w:line="240" w:lineRule="auto"/>
        <w:ind w:left="0" w:hanging="2"/>
      </w:pPr>
      <w:r w:rsidRPr="002A31F2">
        <w:t xml:space="preserve">LEITHOLD, Louis. </w:t>
      </w:r>
      <w:r w:rsidRPr="002A31F2">
        <w:rPr>
          <w:b/>
        </w:rPr>
        <w:t xml:space="preserve">O </w:t>
      </w:r>
      <w:r w:rsidR="00864928" w:rsidRPr="002A31F2">
        <w:rPr>
          <w:b/>
        </w:rPr>
        <w:t xml:space="preserve">Cálculo </w:t>
      </w:r>
      <w:r w:rsidRPr="002A31F2">
        <w:rPr>
          <w:b/>
        </w:rPr>
        <w:t xml:space="preserve">com </w:t>
      </w:r>
      <w:r w:rsidR="00864928" w:rsidRPr="002A31F2">
        <w:rPr>
          <w:b/>
        </w:rPr>
        <w:t>Geometria Analítica</w:t>
      </w:r>
      <w:r w:rsidRPr="002A31F2">
        <w:rPr>
          <w:b/>
        </w:rPr>
        <w:t xml:space="preserve">. </w:t>
      </w:r>
      <w:r w:rsidR="002A31F2" w:rsidRPr="002A31F2">
        <w:t>3</w:t>
      </w:r>
      <w:r w:rsidR="00864928">
        <w:t>.</w:t>
      </w:r>
      <w:r w:rsidRPr="002A31F2">
        <w:t>ed. São Paulo: Harbra, 1994.</w:t>
      </w:r>
      <w:r w:rsidR="00864928" w:rsidRPr="00864928">
        <w:t xml:space="preserve"> </w:t>
      </w:r>
      <w:r w:rsidR="00864928" w:rsidRPr="002A31F2">
        <w:t>v.1</w:t>
      </w:r>
      <w:r w:rsidR="00DA5439">
        <w:t>.</w:t>
      </w:r>
    </w:p>
    <w:p w14:paraId="536DEC54" w14:textId="5AD6D22E" w:rsidR="002A0EF7" w:rsidRPr="002A31F2" w:rsidRDefault="00DE0A64" w:rsidP="00864928">
      <w:pPr>
        <w:spacing w:before="120" w:line="240" w:lineRule="auto"/>
        <w:ind w:left="0" w:hanging="2"/>
      </w:pPr>
      <w:r w:rsidRPr="002A31F2">
        <w:t xml:space="preserve">REIS, Genésio Lima dos; SILVA, Valdir Vilmar da. </w:t>
      </w:r>
      <w:r w:rsidR="002222D6">
        <w:rPr>
          <w:b/>
        </w:rPr>
        <w:t xml:space="preserve">Geometria </w:t>
      </w:r>
      <w:r w:rsidR="00864928">
        <w:rPr>
          <w:b/>
        </w:rPr>
        <w:t>A</w:t>
      </w:r>
      <w:r w:rsidRPr="002A31F2">
        <w:rPr>
          <w:b/>
        </w:rPr>
        <w:t xml:space="preserve">nalítica. </w:t>
      </w:r>
      <w:r w:rsidR="002A31F2" w:rsidRPr="002A31F2">
        <w:t>2</w:t>
      </w:r>
      <w:r w:rsidR="00864928">
        <w:t>.</w:t>
      </w:r>
      <w:r w:rsidRPr="002A31F2">
        <w:t>ed. Rio de Janeiro: LTC, 1996.</w:t>
      </w:r>
    </w:p>
    <w:p w14:paraId="3B1047C7" w14:textId="77777777" w:rsidR="002A0EF7" w:rsidRDefault="002A0EF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7A9E8165" w14:textId="77777777" w:rsidR="002A0EF7" w:rsidRDefault="002A0EF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sectPr w:rsidR="002A0EF7">
      <w:headerReference w:type="default" r:id="rId8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0898C" w14:textId="77777777" w:rsidR="00F519AA" w:rsidRDefault="00F519AA">
      <w:pPr>
        <w:spacing w:line="240" w:lineRule="auto"/>
        <w:ind w:left="0" w:hanging="2"/>
      </w:pPr>
      <w:r>
        <w:separator/>
      </w:r>
    </w:p>
  </w:endnote>
  <w:endnote w:type="continuationSeparator" w:id="0">
    <w:p w14:paraId="1E3B7F14" w14:textId="77777777" w:rsidR="00F519AA" w:rsidRDefault="00F519A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C400B" w14:textId="77777777" w:rsidR="00F519AA" w:rsidRDefault="00F519AA">
      <w:pPr>
        <w:spacing w:line="240" w:lineRule="auto"/>
        <w:ind w:left="0" w:hanging="2"/>
      </w:pPr>
      <w:r>
        <w:separator/>
      </w:r>
    </w:p>
  </w:footnote>
  <w:footnote w:type="continuationSeparator" w:id="0">
    <w:p w14:paraId="4E14F168" w14:textId="77777777" w:rsidR="00F519AA" w:rsidRDefault="00F519A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0CA55" w14:textId="77777777" w:rsidR="002A0EF7" w:rsidRDefault="00DE0A64">
    <w:pPr>
      <w:ind w:left="0" w:hanging="2"/>
      <w:jc w:val="center"/>
    </w:pPr>
    <w:r>
      <w:rPr>
        <w:noProof/>
      </w:rPr>
      <w:drawing>
        <wp:inline distT="0" distB="0" distL="114300" distR="114300" wp14:anchorId="20A9AF63" wp14:editId="28BA2D30">
          <wp:extent cx="423545" cy="461010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3545" cy="461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2FBEF56C" w14:textId="77777777" w:rsidR="002A0EF7" w:rsidRDefault="002A0EF7">
    <w:pPr>
      <w:jc w:val="center"/>
      <w:rPr>
        <w:sz w:val="6"/>
        <w:szCs w:val="6"/>
      </w:rPr>
    </w:pPr>
  </w:p>
  <w:p w14:paraId="4BDA0235" w14:textId="77777777" w:rsidR="002A0EF7" w:rsidRDefault="00DE0A64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Serviço Público Federal</w:t>
    </w:r>
  </w:p>
  <w:p w14:paraId="05937A28" w14:textId="77777777" w:rsidR="002A0EF7" w:rsidRDefault="00DE0A64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Instituto Federal de Educação, Ciência e Tecnologia Sul-rio-grandense</w:t>
    </w:r>
  </w:p>
  <w:p w14:paraId="05C20E47" w14:textId="77777777" w:rsidR="002A0EF7" w:rsidRDefault="00DE0A64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Pró-Reitoria de Ensino</w:t>
    </w:r>
  </w:p>
  <w:p w14:paraId="00AA60AF" w14:textId="77777777" w:rsidR="002A0EF7" w:rsidRDefault="002A0EF7">
    <w:pPr>
      <w:ind w:left="0" w:hanging="2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0959D0"/>
    <w:multiLevelType w:val="multilevel"/>
    <w:tmpl w:val="97A65E5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74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EF7"/>
    <w:rsid w:val="00035BA1"/>
    <w:rsid w:val="001F60C1"/>
    <w:rsid w:val="002222D6"/>
    <w:rsid w:val="002A0EF7"/>
    <w:rsid w:val="002A31F2"/>
    <w:rsid w:val="00864928"/>
    <w:rsid w:val="00931FCE"/>
    <w:rsid w:val="00A21B8B"/>
    <w:rsid w:val="00B11C43"/>
    <w:rsid w:val="00DA5439"/>
    <w:rsid w:val="00DE0A64"/>
    <w:rsid w:val="00F519AA"/>
    <w:rsid w:val="00FF6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CC128"/>
  <w15:docId w15:val="{D01C3FB0-817C-4F97-8334-B8C80D04F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tulo1Nivel1Conteudo">
    <w:name w:val="Título 1;Nivel 1 Conteudo"/>
    <w:basedOn w:val="Normal"/>
    <w:next w:val="Normal"/>
    <w:pPr>
      <w:keepNext/>
      <w:ind w:left="1560" w:hanging="426"/>
    </w:pPr>
    <w:rPr>
      <w:bCs/>
      <w:kern w:val="32"/>
      <w:szCs w:val="32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Pr>
      <w:rFonts w:ascii="Times New Roman" w:hAnsi="Times New Roman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tuloNivel0Contedo">
    <w:name w:val="Título;Nivel 0 Conteúdo"/>
    <w:basedOn w:val="Normal"/>
    <w:next w:val="Normal"/>
    <w:pPr>
      <w:spacing w:before="240" w:after="60"/>
    </w:pPr>
    <w:rPr>
      <w:bCs/>
      <w:kern w:val="28"/>
      <w:szCs w:val="32"/>
    </w:rPr>
  </w:style>
  <w:style w:type="character" w:customStyle="1" w:styleId="TtuloCharNivel0ContedoChar">
    <w:name w:val="Título Char;Nivel 0 Conteúdo Char"/>
    <w:rPr>
      <w:rFonts w:ascii="Arial" w:eastAsia="Times New Roman" w:hAnsi="Arial" w:cs="Times New Roman"/>
      <w:bCs/>
      <w:w w:val="100"/>
      <w:kern w:val="28"/>
      <w:position w:val="-1"/>
      <w:sz w:val="24"/>
      <w:szCs w:val="32"/>
      <w:effect w:val="none"/>
      <w:vertAlign w:val="baseline"/>
      <w:cs w:val="0"/>
      <w:em w:val="none"/>
    </w:rPr>
  </w:style>
  <w:style w:type="character" w:customStyle="1" w:styleId="Ttulo1CharNivel1ConteudoChar">
    <w:name w:val="Título 1 Char;Nivel 1 Conteudo Char"/>
    <w:rPr>
      <w:rFonts w:ascii="Arial" w:eastAsia="Times New Roman" w:hAnsi="Arial" w:cs="Times New Roman"/>
      <w:bCs/>
      <w:w w:val="100"/>
      <w:kern w:val="32"/>
      <w:position w:val="-1"/>
      <w:sz w:val="24"/>
      <w:szCs w:val="32"/>
      <w:effect w:val="none"/>
      <w:vertAlign w:val="baseline"/>
      <w:cs w:val="0"/>
      <w:em w:val="none"/>
    </w:rPr>
  </w:style>
  <w:style w:type="paragraph" w:customStyle="1" w:styleId="Nivel2Contedo">
    <w:name w:val="Nivel 2 Conteúdo"/>
    <w:basedOn w:val="Ttulo1Nivel1Conteudo"/>
    <w:next w:val="Normal"/>
    <w:pPr>
      <w:ind w:left="2127" w:hanging="567"/>
    </w:pPr>
    <w:rPr>
      <w:szCs w:val="24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+7xngrGrj+8VhgGfCRyivc4wGfQ==">AMUW2mXoSu/YGA5zI/KulNMSagpKi4splS7YHaXCPbxwOlrY9msfmQbiUGI1DggMuxNmhNeXOCBtgHmzxq7fGIGq2wsj09IFpgn/ikHiP5FcyGmbAHZtcXI=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300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DIREN</dc:creator>
  <cp:lastModifiedBy>Marion Rodrigues Dariz</cp:lastModifiedBy>
  <cp:revision>6</cp:revision>
  <dcterms:created xsi:type="dcterms:W3CDTF">2020-09-25T23:20:00Z</dcterms:created>
  <dcterms:modified xsi:type="dcterms:W3CDTF">2021-08-31T02:36:00Z</dcterms:modified>
</cp:coreProperties>
</file>